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1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Style w:val="6"/>
          <w:rFonts w:hint="default" w:ascii="Microsoft YaHei UI" w:hAnsi="Microsoft YaHei UI" w:eastAsia="Microsoft YaHei UI" w:cs="Microsoft YaHei UI"/>
          <w:i w:val="0"/>
          <w:iCs w:val="0"/>
          <w:caps w:val="0"/>
          <w:spacing w:val="8"/>
          <w:sz w:val="28"/>
          <w:szCs w:val="28"/>
          <w:shd w:val="clear" w:fill="FFFFFF"/>
          <w:lang w:val="en-US" w:eastAsia="zh-CN"/>
        </w:rPr>
      </w:pPr>
      <w:r>
        <w:rPr>
          <w:rStyle w:val="6"/>
          <w:rFonts w:hint="eastAsia" w:ascii="Microsoft YaHei UI" w:hAnsi="Microsoft YaHei UI" w:eastAsia="Microsoft YaHei UI" w:cs="Microsoft YaHei UI"/>
          <w:i w:val="0"/>
          <w:iCs w:val="0"/>
          <w:caps w:val="0"/>
          <w:spacing w:val="8"/>
          <w:sz w:val="28"/>
          <w:szCs w:val="28"/>
          <w:shd w:val="clear" w:fill="FFFFFF"/>
          <w:lang w:val="en-US" w:eastAsia="zh-CN"/>
        </w:rPr>
        <w:t>河北大学国际学院介绍</w:t>
      </w:r>
    </w:p>
    <w:p w14:paraId="19DC2C97">
      <w:pPr>
        <w:ind w:firstLine="592" w:firstLineChars="200"/>
        <w:rPr>
          <w:rFonts w:hint="eastAsia" w:ascii="仿宋" w:hAnsi="仿宋" w:eastAsia="仿宋" w:cs="仿宋"/>
          <w:i w:val="0"/>
          <w:iCs w:val="0"/>
          <w:caps w:val="0"/>
          <w:spacing w:val="8"/>
          <w:sz w:val="28"/>
          <w:szCs w:val="28"/>
          <w:shd w:val="clear" w:fill="FFFFFF"/>
          <w:lang w:val="en-US" w:eastAsia="zh-CN"/>
        </w:rPr>
      </w:pPr>
      <w:r>
        <w:rPr>
          <w:rFonts w:hint="eastAsia" w:ascii="仿宋" w:hAnsi="仿宋" w:eastAsia="仿宋" w:cs="仿宋"/>
          <w:i w:val="0"/>
          <w:iCs w:val="0"/>
          <w:caps w:val="0"/>
          <w:spacing w:val="8"/>
          <w:sz w:val="28"/>
          <w:szCs w:val="28"/>
          <w:shd w:val="clear" w:fill="FFFFFF"/>
          <w:lang w:val="en-US" w:eastAsia="zh-CN"/>
        </w:rPr>
        <w:t>河北大学国际学院于2020年8月成立，主要开展“本科学术互认课程”（简称ISEC）项目学生的教育培养，设有金融学、新闻学、信息管理与信息系统、电气工程及其自动化、软件工程和国际经济与贸易6个专业。ISEC项目是由国家留学基金管理委员会依托服务国家国际教育交流合作的丰富资源，着眼于全方位服务国内院校的教育国际化工作，联合国内外院校和国际教育专家研发的通用型本科学术互认课程和配套服务体系。</w:t>
      </w:r>
    </w:p>
    <w:p w14:paraId="1180B728">
      <w:pPr>
        <w:rPr>
          <w:rFonts w:hint="eastAsia" w:ascii="仿宋" w:hAnsi="仿宋" w:eastAsia="仿宋" w:cs="仿宋"/>
          <w:i w:val="0"/>
          <w:iCs w:val="0"/>
          <w:caps w:val="0"/>
          <w:spacing w:val="8"/>
          <w:sz w:val="28"/>
          <w:szCs w:val="28"/>
          <w:shd w:val="clear" w:fill="FFFFFF"/>
          <w:lang w:val="en-US" w:eastAsia="zh-CN"/>
        </w:rPr>
      </w:pPr>
      <w:r>
        <w:rPr>
          <w:rFonts w:hint="eastAsia" w:ascii="仿宋" w:hAnsi="仿宋" w:eastAsia="仿宋" w:cs="仿宋"/>
          <w:i w:val="0"/>
          <w:iCs w:val="0"/>
          <w:caps w:val="0"/>
          <w:spacing w:val="8"/>
          <w:sz w:val="28"/>
          <w:szCs w:val="28"/>
          <w:shd w:val="clear" w:fill="FFFFFF"/>
          <w:lang w:val="en-US" w:eastAsia="zh-CN"/>
        </w:rPr>
        <w:t xml:space="preserve">    河北大学国际学院依托河北大学百年办学深厚的文化底蕴和雄厚的办学实力，特别是作为综合性大学的多学科教育资源优势，系统化对接国际先进教育理念和资源，致力于培养具有国际视野、通晓国际规则、应对国际挑战、能够参与国际事务和国际竞争的复合型、创新型国际化人才。</w:t>
      </w:r>
    </w:p>
    <w:tbl>
      <w:tblPr>
        <w:tblStyle w:val="4"/>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680"/>
        <w:gridCol w:w="3732"/>
        <w:gridCol w:w="1796"/>
      </w:tblGrid>
      <w:tr w14:paraId="7AC3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64" w:type="dxa"/>
            <w:gridSpan w:val="4"/>
            <w:vAlign w:val="center"/>
          </w:tcPr>
          <w:p w14:paraId="20A2B98D">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imes New Roman" w:hAnsi="Times New Roman" w:eastAsia="宋体" w:cs="Times New Roman"/>
                <w:b/>
                <w:bCs/>
                <w:kern w:val="0"/>
                <w:sz w:val="28"/>
                <w:szCs w:val="36"/>
                <w:lang w:val="en-US" w:eastAsia="zh-CN"/>
              </w:rPr>
              <w:t>河北大学国际学院2025届毕业生专业分布</w:t>
            </w:r>
          </w:p>
        </w:tc>
      </w:tr>
      <w:tr w14:paraId="109F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364" w:type="dxa"/>
            <w:gridSpan w:val="4"/>
            <w:vAlign w:val="center"/>
          </w:tcPr>
          <w:p w14:paraId="36EAF456">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国际学院2025届毕业生总数为499人，全部为全日制本科生。</w:t>
            </w:r>
            <w:bookmarkStart w:id="0" w:name="_GoBack"/>
            <w:bookmarkEnd w:id="0"/>
          </w:p>
        </w:tc>
      </w:tr>
      <w:tr w14:paraId="4F9A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56" w:type="dxa"/>
            <w:vAlign w:val="center"/>
          </w:tcPr>
          <w:p w14:paraId="65AADBB4">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学院</w:t>
            </w:r>
          </w:p>
        </w:tc>
        <w:tc>
          <w:tcPr>
            <w:tcW w:w="1680" w:type="dxa"/>
            <w:vAlign w:val="center"/>
          </w:tcPr>
          <w:p w14:paraId="5EDF2179">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学历</w:t>
            </w:r>
          </w:p>
        </w:tc>
        <w:tc>
          <w:tcPr>
            <w:tcW w:w="3732" w:type="dxa"/>
            <w:vAlign w:val="center"/>
          </w:tcPr>
          <w:p w14:paraId="1C26963A">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专业班级</w:t>
            </w:r>
          </w:p>
        </w:tc>
        <w:tc>
          <w:tcPr>
            <w:tcW w:w="1796" w:type="dxa"/>
            <w:vAlign w:val="center"/>
          </w:tcPr>
          <w:p w14:paraId="72E4BD61">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人数</w:t>
            </w:r>
          </w:p>
        </w:tc>
      </w:tr>
      <w:tr w14:paraId="07ED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56" w:type="dxa"/>
            <w:vMerge w:val="restart"/>
            <w:vAlign w:val="center"/>
          </w:tcPr>
          <w:p w14:paraId="68B1D949">
            <w:pPr>
              <w:widowControl/>
              <w:jc w:val="center"/>
              <w:textAlignment w:val="center"/>
              <w:rPr>
                <w:rFonts w:hint="eastAsia" w:ascii="宋体" w:hAnsi="宋体" w:eastAsia="宋体" w:cs="宋体"/>
                <w:color w:val="000000"/>
                <w:kern w:val="0"/>
                <w:sz w:val="22"/>
                <w:lang w:val="en-US" w:eastAsia="zh-CN" w:bidi="ar"/>
              </w:rPr>
            </w:pPr>
          </w:p>
          <w:p w14:paraId="48B7D216">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国</w:t>
            </w:r>
          </w:p>
          <w:p w14:paraId="546BC35B">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际</w:t>
            </w:r>
          </w:p>
          <w:p w14:paraId="2FF855F6">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学</w:t>
            </w:r>
          </w:p>
          <w:p w14:paraId="02D9C6D0">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院</w:t>
            </w:r>
          </w:p>
        </w:tc>
        <w:tc>
          <w:tcPr>
            <w:tcW w:w="1680" w:type="dxa"/>
            <w:vMerge w:val="restart"/>
            <w:vAlign w:val="center"/>
          </w:tcPr>
          <w:p w14:paraId="2207E48B">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本</w:t>
            </w:r>
          </w:p>
          <w:p w14:paraId="15672C5C">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科</w:t>
            </w:r>
          </w:p>
          <w:p w14:paraId="101D7B72">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生</w:t>
            </w:r>
          </w:p>
        </w:tc>
        <w:tc>
          <w:tcPr>
            <w:tcW w:w="3732" w:type="dxa"/>
            <w:vAlign w:val="center"/>
          </w:tcPr>
          <w:p w14:paraId="0D3EED60">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新闻学专业</w:t>
            </w:r>
          </w:p>
        </w:tc>
        <w:tc>
          <w:tcPr>
            <w:tcW w:w="1796" w:type="dxa"/>
            <w:vAlign w:val="center"/>
          </w:tcPr>
          <w:p w14:paraId="231E341B">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85</w:t>
            </w:r>
          </w:p>
        </w:tc>
      </w:tr>
      <w:tr w14:paraId="0223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6" w:type="dxa"/>
            <w:vMerge w:val="continue"/>
            <w:vAlign w:val="center"/>
          </w:tcPr>
          <w:p w14:paraId="30177A2B">
            <w:pPr>
              <w:widowControl/>
              <w:jc w:val="center"/>
              <w:textAlignment w:val="center"/>
              <w:rPr>
                <w:rFonts w:hint="eastAsia" w:ascii="宋体" w:hAnsi="宋体" w:eastAsia="宋体" w:cs="宋体"/>
                <w:color w:val="000000"/>
                <w:kern w:val="0"/>
                <w:sz w:val="22"/>
                <w:lang w:val="en-US" w:eastAsia="zh-CN" w:bidi="ar"/>
              </w:rPr>
            </w:pPr>
          </w:p>
        </w:tc>
        <w:tc>
          <w:tcPr>
            <w:tcW w:w="1680" w:type="dxa"/>
            <w:vMerge w:val="continue"/>
            <w:vAlign w:val="center"/>
          </w:tcPr>
          <w:p w14:paraId="2114BA3D">
            <w:pPr>
              <w:widowControl/>
              <w:jc w:val="center"/>
              <w:textAlignment w:val="center"/>
              <w:rPr>
                <w:rFonts w:hint="eastAsia" w:ascii="宋体" w:hAnsi="宋体" w:eastAsia="宋体" w:cs="宋体"/>
                <w:color w:val="000000"/>
                <w:kern w:val="0"/>
                <w:sz w:val="22"/>
                <w:lang w:val="en-US" w:eastAsia="zh-CN" w:bidi="ar"/>
              </w:rPr>
            </w:pPr>
          </w:p>
        </w:tc>
        <w:tc>
          <w:tcPr>
            <w:tcW w:w="3732" w:type="dxa"/>
            <w:vAlign w:val="center"/>
          </w:tcPr>
          <w:p w14:paraId="0EBFB59B">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金融学专业</w:t>
            </w:r>
          </w:p>
        </w:tc>
        <w:tc>
          <w:tcPr>
            <w:tcW w:w="1796" w:type="dxa"/>
            <w:vAlign w:val="center"/>
          </w:tcPr>
          <w:p w14:paraId="3077DD40">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85</w:t>
            </w:r>
          </w:p>
        </w:tc>
      </w:tr>
      <w:tr w14:paraId="70B7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56" w:type="dxa"/>
            <w:vMerge w:val="continue"/>
            <w:vAlign w:val="center"/>
          </w:tcPr>
          <w:p w14:paraId="7A6903DD">
            <w:pPr>
              <w:widowControl/>
              <w:jc w:val="center"/>
              <w:textAlignment w:val="center"/>
              <w:rPr>
                <w:rFonts w:hint="eastAsia" w:ascii="宋体" w:hAnsi="宋体" w:eastAsia="宋体" w:cs="宋体"/>
                <w:color w:val="000000"/>
                <w:kern w:val="0"/>
                <w:sz w:val="22"/>
                <w:lang w:val="en-US" w:eastAsia="zh-CN" w:bidi="ar"/>
              </w:rPr>
            </w:pPr>
          </w:p>
        </w:tc>
        <w:tc>
          <w:tcPr>
            <w:tcW w:w="1680" w:type="dxa"/>
            <w:vMerge w:val="continue"/>
            <w:vAlign w:val="center"/>
          </w:tcPr>
          <w:p w14:paraId="4B1F3BE4">
            <w:pPr>
              <w:widowControl/>
              <w:jc w:val="center"/>
              <w:textAlignment w:val="center"/>
              <w:rPr>
                <w:rFonts w:hint="eastAsia" w:ascii="宋体" w:hAnsi="宋体" w:eastAsia="宋体" w:cs="宋体"/>
                <w:color w:val="000000"/>
                <w:kern w:val="0"/>
                <w:sz w:val="22"/>
                <w:lang w:val="en-US" w:eastAsia="zh-CN" w:bidi="ar"/>
              </w:rPr>
            </w:pPr>
          </w:p>
        </w:tc>
        <w:tc>
          <w:tcPr>
            <w:tcW w:w="3732" w:type="dxa"/>
            <w:vAlign w:val="center"/>
          </w:tcPr>
          <w:p w14:paraId="5412CB5A">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bidi="ar"/>
              </w:rPr>
              <w:t>国际经济与贸易</w:t>
            </w:r>
          </w:p>
        </w:tc>
        <w:tc>
          <w:tcPr>
            <w:tcW w:w="1796" w:type="dxa"/>
            <w:vAlign w:val="center"/>
          </w:tcPr>
          <w:p w14:paraId="01040A34">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83</w:t>
            </w:r>
          </w:p>
        </w:tc>
      </w:tr>
      <w:tr w14:paraId="6D8A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6" w:type="dxa"/>
            <w:vMerge w:val="continue"/>
            <w:vAlign w:val="center"/>
          </w:tcPr>
          <w:p w14:paraId="7000407C">
            <w:pPr>
              <w:widowControl/>
              <w:jc w:val="center"/>
              <w:textAlignment w:val="center"/>
              <w:rPr>
                <w:rFonts w:hint="eastAsia" w:ascii="宋体" w:hAnsi="宋体" w:eastAsia="宋体" w:cs="宋体"/>
                <w:color w:val="000000"/>
                <w:kern w:val="0"/>
                <w:sz w:val="22"/>
                <w:lang w:val="en-US" w:eastAsia="zh-CN" w:bidi="ar"/>
              </w:rPr>
            </w:pPr>
          </w:p>
        </w:tc>
        <w:tc>
          <w:tcPr>
            <w:tcW w:w="1680" w:type="dxa"/>
            <w:vMerge w:val="continue"/>
            <w:vAlign w:val="center"/>
          </w:tcPr>
          <w:p w14:paraId="73DD807A">
            <w:pPr>
              <w:widowControl/>
              <w:jc w:val="center"/>
              <w:textAlignment w:val="center"/>
              <w:rPr>
                <w:rFonts w:hint="eastAsia" w:ascii="宋体" w:hAnsi="宋体" w:eastAsia="宋体" w:cs="宋体"/>
                <w:color w:val="000000"/>
                <w:kern w:val="0"/>
                <w:sz w:val="22"/>
                <w:lang w:val="en-US" w:eastAsia="zh-CN" w:bidi="ar"/>
              </w:rPr>
            </w:pPr>
          </w:p>
        </w:tc>
        <w:tc>
          <w:tcPr>
            <w:tcW w:w="3732" w:type="dxa"/>
            <w:vAlign w:val="center"/>
          </w:tcPr>
          <w:p w14:paraId="482C62E6">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软件工程</w:t>
            </w:r>
          </w:p>
        </w:tc>
        <w:tc>
          <w:tcPr>
            <w:tcW w:w="1796" w:type="dxa"/>
            <w:vAlign w:val="center"/>
          </w:tcPr>
          <w:p w14:paraId="733F40DE">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82</w:t>
            </w:r>
          </w:p>
        </w:tc>
      </w:tr>
      <w:tr w14:paraId="4B6B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6" w:type="dxa"/>
            <w:vMerge w:val="continue"/>
            <w:vAlign w:val="center"/>
          </w:tcPr>
          <w:p w14:paraId="31F357E8">
            <w:pPr>
              <w:widowControl/>
              <w:jc w:val="center"/>
              <w:textAlignment w:val="center"/>
              <w:rPr>
                <w:rFonts w:hint="eastAsia" w:ascii="宋体" w:hAnsi="宋体" w:eastAsia="宋体" w:cs="宋体"/>
                <w:color w:val="000000"/>
                <w:kern w:val="0"/>
                <w:sz w:val="22"/>
                <w:lang w:val="en-US" w:eastAsia="zh-CN" w:bidi="ar"/>
              </w:rPr>
            </w:pPr>
          </w:p>
        </w:tc>
        <w:tc>
          <w:tcPr>
            <w:tcW w:w="1680" w:type="dxa"/>
            <w:vMerge w:val="continue"/>
            <w:vAlign w:val="center"/>
          </w:tcPr>
          <w:p w14:paraId="654C87F5">
            <w:pPr>
              <w:widowControl/>
              <w:jc w:val="center"/>
              <w:textAlignment w:val="center"/>
              <w:rPr>
                <w:rFonts w:hint="eastAsia" w:ascii="宋体" w:hAnsi="宋体" w:eastAsia="宋体" w:cs="宋体"/>
                <w:color w:val="000000"/>
                <w:kern w:val="0"/>
                <w:sz w:val="22"/>
                <w:lang w:val="en-US" w:eastAsia="zh-CN" w:bidi="ar"/>
              </w:rPr>
            </w:pPr>
          </w:p>
        </w:tc>
        <w:tc>
          <w:tcPr>
            <w:tcW w:w="3732" w:type="dxa"/>
            <w:vAlign w:val="center"/>
          </w:tcPr>
          <w:p w14:paraId="27447B98">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bidi="ar"/>
              </w:rPr>
              <w:t>电气工程及其自动化</w:t>
            </w:r>
          </w:p>
        </w:tc>
        <w:tc>
          <w:tcPr>
            <w:tcW w:w="1796" w:type="dxa"/>
            <w:vAlign w:val="center"/>
          </w:tcPr>
          <w:p w14:paraId="4E255832">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70</w:t>
            </w:r>
          </w:p>
        </w:tc>
      </w:tr>
      <w:tr w14:paraId="278E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56" w:type="dxa"/>
            <w:vMerge w:val="continue"/>
            <w:vAlign w:val="center"/>
          </w:tcPr>
          <w:p w14:paraId="65432AF5">
            <w:pPr>
              <w:widowControl/>
              <w:jc w:val="center"/>
              <w:textAlignment w:val="center"/>
              <w:rPr>
                <w:rFonts w:hint="eastAsia" w:ascii="宋体" w:hAnsi="宋体" w:eastAsia="宋体" w:cs="宋体"/>
                <w:color w:val="000000"/>
                <w:kern w:val="0"/>
                <w:sz w:val="22"/>
                <w:lang w:val="en-US" w:eastAsia="zh-CN" w:bidi="ar"/>
              </w:rPr>
            </w:pPr>
          </w:p>
        </w:tc>
        <w:tc>
          <w:tcPr>
            <w:tcW w:w="1680" w:type="dxa"/>
            <w:vMerge w:val="continue"/>
            <w:vAlign w:val="center"/>
          </w:tcPr>
          <w:p w14:paraId="24961009">
            <w:pPr>
              <w:widowControl/>
              <w:jc w:val="center"/>
              <w:textAlignment w:val="center"/>
              <w:rPr>
                <w:rFonts w:hint="eastAsia" w:ascii="宋体" w:hAnsi="宋体" w:eastAsia="宋体" w:cs="宋体"/>
                <w:color w:val="000000"/>
                <w:kern w:val="0"/>
                <w:sz w:val="22"/>
                <w:lang w:val="en-US" w:eastAsia="zh-CN" w:bidi="ar"/>
              </w:rPr>
            </w:pPr>
          </w:p>
        </w:tc>
        <w:tc>
          <w:tcPr>
            <w:tcW w:w="3732" w:type="dxa"/>
            <w:vAlign w:val="center"/>
          </w:tcPr>
          <w:p w14:paraId="635EC690">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bidi="ar"/>
              </w:rPr>
              <w:t>信息管理与信息系统</w:t>
            </w:r>
          </w:p>
        </w:tc>
        <w:tc>
          <w:tcPr>
            <w:tcW w:w="1796" w:type="dxa"/>
            <w:vAlign w:val="center"/>
          </w:tcPr>
          <w:p w14:paraId="6FD04E1D">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88</w:t>
            </w:r>
          </w:p>
        </w:tc>
      </w:tr>
    </w:tbl>
    <w:p w14:paraId="0D472A22">
      <w:pPr>
        <w:rPr>
          <w:rFonts w:hint="eastAsia" w:ascii="仿宋" w:hAnsi="仿宋" w:eastAsia="仿宋" w:cs="仿宋"/>
          <w:i w:val="0"/>
          <w:iCs w:val="0"/>
          <w:caps w:val="0"/>
          <w:spacing w:val="8"/>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24B38"/>
    <w:rsid w:val="25D9757F"/>
    <w:rsid w:val="35C305A8"/>
    <w:rsid w:val="47A86742"/>
    <w:rsid w:val="4C424B38"/>
    <w:rsid w:val="52496331"/>
    <w:rsid w:val="61F64818"/>
    <w:rsid w:val="779B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2024-04-03T08:51:00Z</dcterms:created>
  <dc:creator>kitty</dc:creator>
  <cp:lastModifiedBy>kitty</cp:lastModifiedBy>
  <dcterms:modified xsi:type="dcterms:W3CDTF">2025-04-17T02:22:34Z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E76BCB5903DB4660B31F4605D3E27B86_12</vt:lpwstr>
  </property>
</Properties>
</file>